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Términos de Referencia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6F9667E9" w:rsidR="0046383F" w:rsidRPr="00950C04" w:rsidRDefault="00E05976">
      <w:pPr>
        <w:jc w:val="center"/>
      </w:pPr>
      <w:r w:rsidRPr="00950C04">
        <w:t>Versión 1.</w:t>
      </w:r>
      <w:r w:rsidR="00742E02">
        <w:t>3</w:t>
      </w:r>
    </w:p>
    <w:p w14:paraId="624DFB14" w14:textId="77777777" w:rsidR="00742E02" w:rsidRDefault="00742E02">
      <w:pPr>
        <w:jc w:val="center"/>
      </w:pPr>
      <w:r>
        <w:t>Aprobado</w:t>
      </w:r>
    </w:p>
    <w:p w14:paraId="3988992B" w14:textId="781D4BCE" w:rsidR="0046383F" w:rsidRDefault="00E05976">
      <w:pPr>
        <w:jc w:val="center"/>
      </w:pPr>
      <w:r w:rsidRPr="00950C04">
        <w:t xml:space="preserve">Fecha </w:t>
      </w:r>
      <w:r w:rsidR="007E3F57">
        <w:t>2</w:t>
      </w:r>
      <w:r w:rsidR="00742E02">
        <w:t>3</w:t>
      </w:r>
      <w:r w:rsidRPr="00950C04">
        <w:t>/</w:t>
      </w:r>
      <w:r w:rsidR="00B1156B" w:rsidRPr="00950C04">
        <w:t>01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741C586" w14:textId="77777777" w:rsidR="0046383F" w:rsidRDefault="0046383F"/>
    <w:p w14:paraId="31439ACB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Antecedente </w:t>
      </w:r>
    </w:p>
    <w:p w14:paraId="099633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En el marco de la Segunda Cumbre Ministerial y de Altas Autoridades sobre la Ética de la Inteligencia Artificial en Amér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ica Latina y el Caribe, realizada los días 3 y 4 de octubre de 2024, en Montevideo, República Oriental del Uruguay, las Ministras, los Ministros y las Altas Autoridades representantes de los países reunidos, aprobaron la “Declaración de Montevideo” y la “Hoja de Ruta 2024 – 2025”. </w:t>
      </w:r>
      <w:r w:rsidRPr="007B7077"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así como formular propuestas para implementar posteriores revisiones.</w:t>
      </w:r>
    </w:p>
    <w:p w14:paraId="7D8614E4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>Los países que integran el Grupo de Trabajo no tienen obligaciones vinculadas a retribuciones o contraprestaciones económicas de ninguna índole. De acuerdo con sus intereses y disponibilidad participarán de forma funcional y técnica para avanzar en la implementación de las líneas definidas y aprobadas en la Hoja de Ruta anexa a la “Declaración de Montevideo”.</w:t>
      </w:r>
    </w:p>
    <w:p w14:paraId="5907075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>El presente documento plantea las pautas de funcionamiento y coordinación de acciones que el Grupo de Trabajo deberá desarrollar, así como otros roles de apoyo técnico y logístico.</w:t>
      </w:r>
    </w:p>
    <w:p w14:paraId="7DB24EA0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C7F5A25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7B7077">
        <w:rPr>
          <w:rFonts w:ascii="Calibri" w:eastAsia="Calibri" w:hAnsi="Calibri" w:cs="Calibri"/>
          <w:b/>
          <w:bCs/>
          <w:color w:val="000000"/>
        </w:rPr>
        <w:t>Conformación del Grupo de Trabajo</w:t>
      </w:r>
    </w:p>
    <w:p w14:paraId="7CB20764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Serán miembros del Grupo de Trabajo los países firmantes y/o adherentes a la “Declaración de Montevideo” y la “Hoja de Ruta 2024 - 2025”, los cuales estarán representados por puntos focales. Las y los representantes serán </w:t>
      </w:r>
      <w:r w:rsidRPr="007B7077">
        <w:rPr>
          <w:rFonts w:ascii="Calibri" w:eastAsia="Calibri" w:hAnsi="Calibri" w:cs="Calibri"/>
          <w:color w:val="000000"/>
          <w:lang w:val="es"/>
        </w:rPr>
        <w:lastRenderedPageBreak/>
        <w:t>designados por las autoridades de su país, y de forma anual serán ratificados en su rol y/o se designará una o un nuevo representante.</w:t>
      </w:r>
    </w:p>
    <w:p w14:paraId="54D2923F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En la Cumbre Ministerial y de Altas Autoridades que tendrá lugar anualmente se definirá el país que liderará el proceso de implementación de la Hoja de Ruta del año siguiente. </w:t>
      </w:r>
    </w:p>
    <w:p w14:paraId="2D414BBC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D0344C3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Funciones del Grupo de Trabajo</w:t>
      </w:r>
    </w:p>
    <w:p w14:paraId="4171C209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Elaborar y aprobar los términos de referencia para su funcionamiento.</w:t>
      </w:r>
    </w:p>
    <w:p w14:paraId="442D9AE7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Definir un calendario indicativo de ejecución de los productos, entregables y/o iniciativas definidas en la Hoja de Ruta.</w:t>
      </w:r>
    </w:p>
    <w:p w14:paraId="249C5C46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Coordinar las acciones necesarias para la implementación de la Hoja de Ruta aprobada y que se encuentre en ejecución.</w:t>
      </w:r>
    </w:p>
    <w:p w14:paraId="36F35BE0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y dar seguimiento a las iniciativas, productos y/o entregables desarrollados por los subgrupos temáticos que surgen de la Hoja de Ruta.</w:t>
      </w:r>
    </w:p>
    <w:p w14:paraId="311877E4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Definir los criterios de validación de los productos y/o entregables que surgen de la implementación de la Hoja de Ruta.</w:t>
      </w:r>
    </w:p>
    <w:p w14:paraId="12BC45AA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Participar en el diseño, ejecución y validación de los productos, entregables y/o iniciativas establecidos en la Hoja de Ruta.</w:t>
      </w:r>
    </w:p>
    <w:p w14:paraId="5BC94A72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Formular propuestas de revisiones o actualizaciones de la Hoja de Ruta, de conformidad a su horizonte temporal de vigencia.</w:t>
      </w:r>
    </w:p>
    <w:p w14:paraId="4B622229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Promover y apoyar la visibilidad y difusión del Grupo de Trabajo con un enfoque regional en la temática. </w:t>
      </w:r>
    </w:p>
    <w:p w14:paraId="459362D4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el diseño e implementación de un plan de difusión de los avances y resultados de la implementación de la Hoja de Ruta y sus productos específicos.</w:t>
      </w:r>
    </w:p>
    <w:p w14:paraId="42433C4D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la preparación de las Cumbres Ministeriales y de Altas Autoridades sobre la Ética de la Inteligencia Artificial en América Latina y el Caribe.</w:t>
      </w:r>
    </w:p>
    <w:p w14:paraId="00A1E6CC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Proponer y gestionar alianzas y colaboraciones con otras iniciativas regionales y/o globales que estén abordando temas asociados a la IA, como la Agenda Digital para América Latina y el Caribe (eLAC) y la Red de gobierno electrónico de América Latina y el Caribe (Red </w:t>
      </w:r>
      <w:proofErr w:type="spellStart"/>
      <w:r w:rsidRPr="007B7077">
        <w:rPr>
          <w:rFonts w:ascii="Calibri" w:eastAsia="Calibri" w:hAnsi="Calibri" w:cs="Calibri"/>
          <w:color w:val="000000"/>
          <w:lang w:val="es"/>
        </w:rPr>
        <w:t>Gealc</w:t>
      </w:r>
      <w:proofErr w:type="spellEnd"/>
      <w:r w:rsidRPr="007B7077">
        <w:rPr>
          <w:rFonts w:ascii="Calibri" w:eastAsia="Calibri" w:hAnsi="Calibri" w:cs="Calibri"/>
          <w:color w:val="000000"/>
          <w:lang w:val="es"/>
        </w:rPr>
        <w:t>), entre otras.</w:t>
      </w:r>
    </w:p>
    <w:p w14:paraId="5E1FD934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Informar a las Ministras, los Ministros y las Altas Autoridades que lideren la agenda de IA en los países miembros del mismo, sobre los avances en la implementación de la Hoja de Ruta. </w:t>
      </w:r>
    </w:p>
    <w:p w14:paraId="06DC8978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55927CE9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6D65C81A" w14:textId="77777777" w:rsidR="0046383F" w:rsidRPr="007B7077" w:rsidRDefault="0046383F">
      <w:pPr>
        <w:spacing w:after="200"/>
        <w:rPr>
          <w:rFonts w:ascii="Calibri" w:eastAsia="Calibri" w:hAnsi="Calibri" w:cs="Calibri"/>
          <w:color w:val="000000"/>
        </w:rPr>
      </w:pPr>
    </w:p>
    <w:p w14:paraId="74BA87F3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Funcionamiento del Grupo de Trabajo</w:t>
      </w:r>
      <w:r w:rsidRPr="007B7077">
        <w:rPr>
          <w:rStyle w:val="Refdecomentario"/>
        </w:rPr>
        <w:t xml:space="preserve"> </w:t>
      </w:r>
    </w:p>
    <w:p w14:paraId="66D6C277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57EF2A31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Las reuniones del Grupo de Trabajo serán convocadas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 </w:t>
      </w:r>
    </w:p>
    <w:p w14:paraId="667C4A5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Se realizará un calendario anual de reuniones el cual será aprobado por el Grupo de Trabajo. Con antelación de una semana se enviará un recordatorio y la agenda para la correspondiente reunión. </w:t>
      </w:r>
    </w:p>
    <w:p w14:paraId="493DCB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>Se realizarán actas de las reuniones, las cuales quedarán disponibles en el espacio de trabajo compartido del Grupo de Trabajo.</w:t>
      </w:r>
    </w:p>
    <w:p w14:paraId="66FF1272" w14:textId="068F8363" w:rsidR="00041C4D" w:rsidRPr="007B7077" w:rsidRDefault="00B1156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Por regla general, </w:t>
      </w:r>
      <w:r w:rsidR="00657D09" w:rsidRPr="007B7077">
        <w:rPr>
          <w:rFonts w:ascii="Calibri" w:eastAsia="Calibri" w:hAnsi="Calibri" w:cs="Calibri"/>
          <w:lang w:val="es"/>
        </w:rPr>
        <w:t>las decisiones serán</w:t>
      </w:r>
      <w:r w:rsidRPr="007B7077">
        <w:rPr>
          <w:rFonts w:ascii="Calibri" w:eastAsia="Calibri" w:hAnsi="Calibri" w:cs="Calibri"/>
          <w:lang w:val="es"/>
        </w:rPr>
        <w:t xml:space="preserve"> tomadas por consenso de los miembros del Grupo de Trabajo</w:t>
      </w:r>
      <w:bookmarkStart w:id="1" w:name="_Hlk187913388"/>
      <w:r w:rsidRPr="007B7077">
        <w:rPr>
          <w:rFonts w:ascii="Calibri" w:eastAsia="Calibri" w:hAnsi="Calibri" w:cs="Calibri"/>
          <w:lang w:val="es"/>
        </w:rPr>
        <w:t xml:space="preserve">. </w:t>
      </w:r>
      <w:r w:rsidR="00041C4D" w:rsidRPr="007B7077">
        <w:rPr>
          <w:rFonts w:ascii="Calibri" w:eastAsia="Calibri" w:hAnsi="Calibri" w:cs="Calibri"/>
          <w:lang w:val="es"/>
        </w:rPr>
        <w:t>En particular, aquellos documentos de fondo político emanados del grupo, a modo de ejemplo, Declaraciones o Comunicados, alteraciones a la Hoja de Ruta o a los Términos de Referencia del Grupo de Trabajo exigirán proceso de negociación previa y aprobación únicamente por consenso. Las decisiones serán tomadas mediante consulta directa o apertura de procedimientos de silencio con plazo mínimo de 10 días laborales para manifestación formal.</w:t>
      </w:r>
      <w:bookmarkEnd w:id="1"/>
    </w:p>
    <w:p w14:paraId="5D3E09C3" w14:textId="6B30C8FE" w:rsidR="00657D09" w:rsidRPr="007B7077" w:rsidRDefault="00B1156B" w:rsidP="00EB1E4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Solo en caso de no existir </w:t>
      </w:r>
      <w:r w:rsidR="00657D09" w:rsidRPr="007B7077">
        <w:rPr>
          <w:rFonts w:ascii="Calibri" w:eastAsia="Calibri" w:hAnsi="Calibri" w:cs="Calibri"/>
          <w:lang w:val="es"/>
        </w:rPr>
        <w:t>consenso</w:t>
      </w:r>
      <w:r w:rsidRPr="007B7077">
        <w:rPr>
          <w:rFonts w:ascii="Calibri" w:eastAsia="Calibri" w:hAnsi="Calibri" w:cs="Calibri"/>
          <w:lang w:val="es"/>
        </w:rPr>
        <w:t xml:space="preserve"> y de forma excepcional se aplicará una mayoría </w:t>
      </w:r>
      <w:r w:rsidR="00657D09" w:rsidRPr="007B7077">
        <w:rPr>
          <w:rFonts w:ascii="Calibri" w:eastAsia="Calibri" w:hAnsi="Calibri" w:cs="Calibri"/>
          <w:lang w:val="es"/>
        </w:rPr>
        <w:t>calificada de dos tercios de los miembros del Grupo de Trabajo, para aquellas decisiones relativas a la implementación de la Hoja de Ruta (por ejemplo, aprobación de productos, entregables, etc.).</w:t>
      </w:r>
      <w:r w:rsidR="008B33A9" w:rsidRPr="007B7077">
        <w:rPr>
          <w:rFonts w:ascii="Calibri" w:eastAsia="Calibri" w:hAnsi="Calibri" w:cs="Calibri"/>
          <w:lang w:val="es"/>
        </w:rPr>
        <w:t xml:space="preserve"> </w:t>
      </w:r>
      <w:r w:rsidR="00657D09" w:rsidRPr="007B7077">
        <w:rPr>
          <w:rFonts w:ascii="Calibri" w:eastAsia="Calibri" w:hAnsi="Calibri" w:cs="Calibri"/>
          <w:lang w:val="es"/>
        </w:rPr>
        <w:t>En caso de empate en la toma de decisiones, será el país que ejerce la Presidencia el responsable del desempate.</w:t>
      </w:r>
      <w:r w:rsidR="00EB1E45" w:rsidRPr="007B7077">
        <w:rPr>
          <w:rFonts w:ascii="Calibri" w:eastAsia="Calibri" w:hAnsi="Calibri" w:cs="Calibri"/>
          <w:lang w:val="es"/>
        </w:rPr>
        <w:t xml:space="preserve"> </w:t>
      </w:r>
    </w:p>
    <w:p w14:paraId="3D22139F" w14:textId="77777777" w:rsidR="00657D09" w:rsidRPr="007B7077" w:rsidRDefault="00657D09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68CE3FC9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4B71ED77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Conformación de subgrupos de trabajo</w:t>
      </w:r>
    </w:p>
    <w:p w14:paraId="6CAFDA33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3152CCEA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Los subgrupos estarán integrados por representantes de cada país, quienes seleccionarán de manera voluntaria, de acuerdo con sus intereses el o los subgrupos a participar. Si bien cada país podrá seleccionar el o los subgrupos temáticos a integrar, el Grupo de Trabajo deberá velar por el equilibrio en representación de los países, con el fin de promover el diálogo regional y los resultados para una efectiva implementación de la Hoja de Ruta.</w:t>
      </w:r>
    </w:p>
    <w:p w14:paraId="11ECA508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E83D762" w14:textId="75181C9D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  <w:lang w:val="es"/>
        </w:rPr>
        <w:lastRenderedPageBreak/>
        <w:t xml:space="preserve">La coordinación administrativa, logística y de apoyo de cada subgrupo estará a cargo de un representante y su alterno, de una de las organizaciones que integran la secretaría técnica (la </w:t>
      </w:r>
      <w:r w:rsidRPr="007B7077">
        <w:rPr>
          <w:rFonts w:ascii="Calibri" w:eastAsia="Calibri" w:hAnsi="Calibri" w:cs="Calibri"/>
          <w:color w:val="000000"/>
        </w:rPr>
        <w:t xml:space="preserve">Organización de las Naciones Unidas para la Educación, la Ciencia y la Cultura - </w:t>
      </w:r>
      <w:r w:rsidRPr="007B7077">
        <w:rPr>
          <w:rFonts w:ascii="Calibri" w:eastAsia="Calibri" w:hAnsi="Calibri" w:cs="Calibri"/>
          <w:color w:val="000000"/>
          <w:lang w:val="es"/>
        </w:rPr>
        <w:t>UNESCO y CAF -banco de desarrollo de América Latina y el Caribe-) y/</w:t>
      </w:r>
      <w:r w:rsidR="008B33A9" w:rsidRPr="007B7077">
        <w:rPr>
          <w:rFonts w:ascii="Calibri" w:eastAsia="Calibri" w:hAnsi="Calibri" w:cs="Calibri"/>
          <w:color w:val="000000"/>
          <w:lang w:val="es"/>
        </w:rPr>
        <w:t xml:space="preserve"> de</w:t>
      </w:r>
      <w:r w:rsidRPr="007B7077">
        <w:rPr>
          <w:rFonts w:ascii="Calibri" w:eastAsia="Calibri" w:hAnsi="Calibri" w:cs="Calibri"/>
          <w:color w:val="000000"/>
          <w:lang w:val="es"/>
        </w:rPr>
        <w:t>l país que ejerce la Presidencia</w:t>
      </w:r>
      <w:r w:rsidR="008B33A9" w:rsidRPr="007B7077">
        <w:rPr>
          <w:rFonts w:ascii="Calibri" w:eastAsia="Calibri" w:hAnsi="Calibri" w:cs="Calibri"/>
          <w:color w:val="000000"/>
          <w:lang w:val="es"/>
        </w:rPr>
        <w:t xml:space="preserve"> u otro país miembro voluntario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5D7A02D1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2CCB0084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02DF93B6" w14:textId="390EB543" w:rsidR="0046383F" w:rsidRPr="007B7077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Establecer un cronograma </w:t>
      </w:r>
      <w:r w:rsidR="008B33A9" w:rsidRPr="007B7077">
        <w:rPr>
          <w:rFonts w:ascii="Calibri" w:eastAsia="Calibri" w:hAnsi="Calibri" w:cs="Calibri"/>
          <w:color w:val="000000"/>
          <w:lang w:val="es"/>
        </w:rPr>
        <w:t>y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plan de trabajo para la ejecución de los productos, entregables y/o iniciativas.</w:t>
      </w:r>
    </w:p>
    <w:p w14:paraId="639CB0D1" w14:textId="77777777" w:rsidR="0046383F" w:rsidRPr="007B7077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Revisar y aprobar las modificaciones y/o actualizaciones respecto al cronograma, plan de trabajo, productos, entregables y/o iniciativas del respectivo subgrupo.</w:t>
      </w:r>
    </w:p>
    <w:p w14:paraId="3F34615B" w14:textId="77777777" w:rsidR="0046383F" w:rsidRPr="007B7077" w:rsidRDefault="00E0597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</w:pPr>
      <w:r w:rsidRPr="007B7077">
        <w:rPr>
          <w:rFonts w:ascii="Calibri" w:hAnsi="Calibri" w:cs="Calibri"/>
          <w:color w:val="000000"/>
          <w:sz w:val="22"/>
          <w:szCs w:val="22"/>
        </w:rPr>
        <w:t>Reportar los avances vinculados a las acciones del subgrupo a los integrantes del Grupo de Trabajo.</w:t>
      </w:r>
    </w:p>
    <w:p w14:paraId="0ADCD649" w14:textId="77777777" w:rsidR="0046383F" w:rsidRPr="007B7077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Participar de manera activa en los debates conceptuales y técnicos sobre la materia del subgrupo de referencia y promover el diálogo con otros actores del sector público, el sector privado, la academia y la sociedad civil vinculados a la temática del respectivo subgrupo.</w:t>
      </w:r>
    </w:p>
    <w:p w14:paraId="302F4761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20D222D7" w14:textId="77777777" w:rsidR="0046383F" w:rsidRPr="007B7077" w:rsidRDefault="0046383F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388F5A56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Secretaría técnica y Presidencia del Grupo de Trabajo</w:t>
      </w:r>
    </w:p>
    <w:p w14:paraId="46B7C7D4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1379D94C" w14:textId="11A01875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>El Grupo de Trabajo será liderado por el país que ostenta la Presidencia, y secretariado por UNESCO y CAF.</w:t>
      </w:r>
    </w:p>
    <w:p w14:paraId="30CF6EF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 xml:space="preserve">UNESCO y CAF ejercerán la secretaria técnica del Grupo de Trabajo, en el marco de su compromiso de brindar asistencia técnica y financiera para la implementación de la Hoja de Ruta aprobada y de las acciones que se definan en posteriores revisiones y/o actualizaciones de esta. </w:t>
      </w:r>
    </w:p>
    <w:p w14:paraId="0BF96AF2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>Se realizarán reuniones ordinarias conjuntas de la secretaria técnica y Presidencia de forma mensual, pudiéndose realizar extraordinarias de acuerdo con las necesidades. En cada reunión se realizará un acta de esta.</w:t>
      </w:r>
    </w:p>
    <w:p w14:paraId="7A88866D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6299EC7F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lang w:val="es"/>
        </w:rPr>
        <w:t>La secretaria técnica y la Presidencia tendrán como principales cometidos apoyar las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acciones vinculadas a la gestión del Grupo de Trabajo, la implementación de la Hoja de Ruta, y la difusión y visibilidad de los avances de esta.</w:t>
      </w:r>
    </w:p>
    <w:p w14:paraId="4612A95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 </w:t>
      </w:r>
    </w:p>
    <w:p w14:paraId="54F83DD5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Funciones de apoyo logístico para las reuniones:</w:t>
      </w:r>
    </w:p>
    <w:p w14:paraId="5269078B" w14:textId="77777777" w:rsidR="0046383F" w:rsidRPr="007B7077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Actualizar y gestionar la base de contactos de los puntos focales.</w:t>
      </w:r>
    </w:p>
    <w:p w14:paraId="2253404E" w14:textId="546DCA3E" w:rsidR="0046383F" w:rsidRPr="007B7077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lastRenderedPageBreak/>
        <w:t xml:space="preserve">Realizar convocatoria a reuniones (ordinarias y extraordinarias), así como elaborar y socializar las actas correspondientes. </w:t>
      </w:r>
    </w:p>
    <w:p w14:paraId="3F3F873B" w14:textId="77777777" w:rsidR="0046383F" w:rsidRPr="007B7077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Gestionar el repositorio de trabajo compartido del Grupo de Trabajo (privado) y el público (sitio web) para difusión de avances de la implementación de la Hoja de Ruta.</w:t>
      </w:r>
    </w:p>
    <w:p w14:paraId="0333AD4A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08BB4F7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Funciones de apoyo a la implementación de la Hoja de Ruta:</w:t>
      </w:r>
    </w:p>
    <w:p w14:paraId="3AAA53B5" w14:textId="77777777" w:rsidR="0046383F" w:rsidRPr="007B7077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el funcionamiento de los subgrupos temáticos.</w:t>
      </w:r>
    </w:p>
    <w:p w14:paraId="1FDB6459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Monitorear el cronograma de trabajo de la Hoja de Ruta y posteriormente</w:t>
      </w:r>
      <w:r>
        <w:rPr>
          <w:rFonts w:ascii="Calibri" w:eastAsia="Calibri" w:hAnsi="Calibri" w:cs="Calibri"/>
          <w:color w:val="000000"/>
          <w:lang w:val="es"/>
        </w:rPr>
        <w:t xml:space="preserve"> de cada producto, entregable y/o iniciativa.</w:t>
      </w:r>
    </w:p>
    <w:p w14:paraId="3EA560F5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Gestionar y apoyar la implementación del plan de difusión. </w:t>
      </w:r>
    </w:p>
    <w:p w14:paraId="69855A70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BEB66CF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sectPr w:rsidR="0046383F">
      <w:headerReference w:type="default" r:id="rId7"/>
      <w:footerReference w:type="default" r:id="rId8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3D16" w14:textId="77777777" w:rsidR="00E05976" w:rsidRDefault="00E05976">
      <w:pPr>
        <w:spacing w:line="240" w:lineRule="auto"/>
      </w:pPr>
      <w:r>
        <w:separator/>
      </w:r>
    </w:p>
  </w:endnote>
  <w:endnote w:type="continuationSeparator" w:id="0">
    <w:p w14:paraId="115E4EE3" w14:textId="77777777" w:rsidR="00E05976" w:rsidRDefault="00E05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B1E45">
      <w:rPr>
        <w:rFonts w:ascii="Calibri" w:eastAsia="Calibri" w:hAnsi="Calibri" w:cs="Calibri"/>
        <w:noProof/>
        <w:color w:val="000000"/>
      </w:rPr>
      <w:t>5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0A13" w14:textId="77777777" w:rsidR="0046383F" w:rsidRDefault="00E05976">
      <w:pPr>
        <w:spacing w:line="240" w:lineRule="auto"/>
      </w:pPr>
      <w:r>
        <w:separator/>
      </w:r>
    </w:p>
  </w:footnote>
  <w:footnote w:type="continuationSeparator" w:id="0">
    <w:p w14:paraId="0E482E3B" w14:textId="77777777" w:rsidR="0046383F" w:rsidRDefault="00E05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2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3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4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7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8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9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0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1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2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3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14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15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16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17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0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22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23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24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27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28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num w:numId="1" w16cid:durableId="348219424">
    <w:abstractNumId w:val="11"/>
  </w:num>
  <w:num w:numId="2" w16cid:durableId="1709328577">
    <w:abstractNumId w:val="1"/>
  </w:num>
  <w:num w:numId="3" w16cid:durableId="518936740">
    <w:abstractNumId w:val="24"/>
  </w:num>
  <w:num w:numId="4" w16cid:durableId="547107927">
    <w:abstractNumId w:val="4"/>
  </w:num>
  <w:num w:numId="5" w16cid:durableId="1155143249">
    <w:abstractNumId w:val="27"/>
  </w:num>
  <w:num w:numId="6" w16cid:durableId="568659546">
    <w:abstractNumId w:val="6"/>
  </w:num>
  <w:num w:numId="7" w16cid:durableId="1175531273">
    <w:abstractNumId w:val="18"/>
  </w:num>
  <w:num w:numId="8" w16cid:durableId="2064210389">
    <w:abstractNumId w:val="20"/>
  </w:num>
  <w:num w:numId="9" w16cid:durableId="423186073">
    <w:abstractNumId w:val="0"/>
  </w:num>
  <w:num w:numId="10" w16cid:durableId="1517426505">
    <w:abstractNumId w:val="21"/>
  </w:num>
  <w:num w:numId="11" w16cid:durableId="1279753474">
    <w:abstractNumId w:val="15"/>
  </w:num>
  <w:num w:numId="12" w16cid:durableId="1685784789">
    <w:abstractNumId w:val="16"/>
  </w:num>
  <w:num w:numId="13" w16cid:durableId="2073845121">
    <w:abstractNumId w:val="13"/>
  </w:num>
  <w:num w:numId="14" w16cid:durableId="1748916911">
    <w:abstractNumId w:val="19"/>
  </w:num>
  <w:num w:numId="15" w16cid:durableId="1415668322">
    <w:abstractNumId w:val="26"/>
  </w:num>
  <w:num w:numId="16" w16cid:durableId="1037005478">
    <w:abstractNumId w:val="25"/>
  </w:num>
  <w:num w:numId="17" w16cid:durableId="1394356479">
    <w:abstractNumId w:val="14"/>
  </w:num>
  <w:num w:numId="18" w16cid:durableId="1966808369">
    <w:abstractNumId w:val="22"/>
  </w:num>
  <w:num w:numId="19" w16cid:durableId="493767268">
    <w:abstractNumId w:val="9"/>
  </w:num>
  <w:num w:numId="20" w16cid:durableId="2004309522">
    <w:abstractNumId w:val="3"/>
  </w:num>
  <w:num w:numId="21" w16cid:durableId="1647128413">
    <w:abstractNumId w:val="5"/>
  </w:num>
  <w:num w:numId="22" w16cid:durableId="261380577">
    <w:abstractNumId w:val="2"/>
  </w:num>
  <w:num w:numId="23" w16cid:durableId="1510371828">
    <w:abstractNumId w:val="23"/>
  </w:num>
  <w:num w:numId="24" w16cid:durableId="1033338874">
    <w:abstractNumId w:val="12"/>
  </w:num>
  <w:num w:numId="25" w16cid:durableId="222571309">
    <w:abstractNumId w:val="10"/>
  </w:num>
  <w:num w:numId="26" w16cid:durableId="829102765">
    <w:abstractNumId w:val="28"/>
  </w:num>
  <w:num w:numId="27" w16cid:durableId="1653829998">
    <w:abstractNumId w:val="7"/>
  </w:num>
  <w:num w:numId="28" w16cid:durableId="1903367469">
    <w:abstractNumId w:val="17"/>
  </w:num>
  <w:num w:numId="29" w16cid:durableId="1212958836">
    <w:abstractNumId w:val="8"/>
    <w:lvlOverride w:ilvl="0">
      <w:lvl w:ilvl="0" w:tplc="3A2C2DA0">
        <w:start w:val="1"/>
        <w:numFmt w:val="low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41C4D"/>
    <w:rsid w:val="000451DF"/>
    <w:rsid w:val="000C45C6"/>
    <w:rsid w:val="0010243D"/>
    <w:rsid w:val="001D6B77"/>
    <w:rsid w:val="0022798F"/>
    <w:rsid w:val="00415512"/>
    <w:rsid w:val="00426070"/>
    <w:rsid w:val="0046383F"/>
    <w:rsid w:val="005260FA"/>
    <w:rsid w:val="00657D09"/>
    <w:rsid w:val="00742E02"/>
    <w:rsid w:val="0079198B"/>
    <w:rsid w:val="007B7077"/>
    <w:rsid w:val="007E3F57"/>
    <w:rsid w:val="008B33A9"/>
    <w:rsid w:val="008D748D"/>
    <w:rsid w:val="00950C04"/>
    <w:rsid w:val="00B1156B"/>
    <w:rsid w:val="00B26B2A"/>
    <w:rsid w:val="00BD0D9E"/>
    <w:rsid w:val="00DC047D"/>
    <w:rsid w:val="00E05976"/>
    <w:rsid w:val="00EB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1392</Words>
  <Characters>7656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2</cp:revision>
  <dcterms:created xsi:type="dcterms:W3CDTF">2025-01-24T13:14:00Z</dcterms:created>
  <dcterms:modified xsi:type="dcterms:W3CDTF">2025-01-24T13:14:00Z</dcterms:modified>
</cp:coreProperties>
</file>